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6A86D">
      <w:pPr>
        <w:spacing w:after="156" w:afterLines="50" w:line="560" w:lineRule="exact"/>
        <w:rPr>
          <w:rFonts w:hint="eastAsia" w:ascii="黑体" w:eastAsia="黑体" w:cs="黑体"/>
          <w:color w:val="auto"/>
          <w:sz w:val="32"/>
          <w:szCs w:val="32"/>
        </w:rPr>
      </w:pPr>
      <w:r>
        <w:rPr>
          <w:rFonts w:hint="eastAsia" w:ascii="黑体" w:eastAsia="黑体" w:cs="黑体"/>
          <w:color w:val="auto"/>
          <w:sz w:val="32"/>
          <w:szCs w:val="32"/>
        </w:rPr>
        <w:t>附件2</w:t>
      </w:r>
    </w:p>
    <w:p w14:paraId="56690F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eastAsia="黑体" w:cs="黑体"/>
          <w:color w:val="auto"/>
          <w:sz w:val="32"/>
          <w:szCs w:val="32"/>
        </w:rPr>
      </w:pPr>
    </w:p>
    <w:p w14:paraId="33071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20" w:lineRule="exact"/>
        <w:jc w:val="center"/>
        <w:textAlignment w:val="auto"/>
        <w:rPr>
          <w:rFonts w:ascii="黑体" w:eastAsia="黑体" w:cs="黑体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黑体"/>
          <w:color w:val="auto"/>
          <w:sz w:val="36"/>
          <w:szCs w:val="36"/>
        </w:rPr>
        <w:t>嵩县中小学生研学实践教育承办机构评分标准</w:t>
      </w:r>
      <w:bookmarkEnd w:id="0"/>
    </w:p>
    <w:tbl>
      <w:tblPr>
        <w:tblStyle w:val="2"/>
        <w:tblW w:w="952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0"/>
        <w:gridCol w:w="488"/>
        <w:gridCol w:w="1207"/>
        <w:gridCol w:w="621"/>
        <w:gridCol w:w="3321"/>
        <w:gridCol w:w="690"/>
        <w:gridCol w:w="1824"/>
      </w:tblGrid>
      <w:tr w14:paraId="35467B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18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15A27">
            <w:pPr>
              <w:widowControl/>
              <w:spacing w:line="560" w:lineRule="exact"/>
              <w:jc w:val="center"/>
              <w:textAlignment w:val="center"/>
              <w:rPr>
                <w:rFonts w:eastAsia="黑体"/>
                <w:color w:val="auto"/>
                <w:szCs w:val="21"/>
              </w:rPr>
            </w:pPr>
            <w:r>
              <w:rPr>
                <w:rFonts w:eastAsia="黑体"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12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F33AEA">
            <w:pPr>
              <w:widowControl/>
              <w:spacing w:line="560" w:lineRule="exact"/>
              <w:jc w:val="center"/>
              <w:textAlignment w:val="center"/>
              <w:rPr>
                <w:rFonts w:eastAsia="黑体"/>
                <w:color w:val="auto"/>
                <w:szCs w:val="21"/>
              </w:rPr>
            </w:pPr>
            <w:r>
              <w:rPr>
                <w:rFonts w:eastAsia="黑体"/>
                <w:color w:val="auto"/>
                <w:kern w:val="0"/>
                <w:szCs w:val="21"/>
              </w:rPr>
              <w:t>内容</w:t>
            </w:r>
          </w:p>
        </w:tc>
        <w:tc>
          <w:tcPr>
            <w:tcW w:w="6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03189">
            <w:pPr>
              <w:widowControl/>
              <w:spacing w:line="560" w:lineRule="exact"/>
              <w:jc w:val="center"/>
              <w:textAlignment w:val="center"/>
              <w:rPr>
                <w:rFonts w:eastAsia="黑体"/>
                <w:color w:val="auto"/>
                <w:szCs w:val="21"/>
              </w:rPr>
            </w:pPr>
            <w:r>
              <w:rPr>
                <w:rFonts w:eastAsia="黑体"/>
                <w:color w:val="auto"/>
                <w:kern w:val="0"/>
                <w:szCs w:val="21"/>
              </w:rPr>
              <w:t>分值</w:t>
            </w:r>
          </w:p>
        </w:tc>
        <w:tc>
          <w:tcPr>
            <w:tcW w:w="33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1CEF00">
            <w:pPr>
              <w:widowControl/>
              <w:spacing w:line="560" w:lineRule="exact"/>
              <w:jc w:val="center"/>
              <w:textAlignment w:val="center"/>
              <w:rPr>
                <w:rFonts w:eastAsia="黑体"/>
                <w:color w:val="auto"/>
                <w:szCs w:val="21"/>
              </w:rPr>
            </w:pPr>
            <w:r>
              <w:rPr>
                <w:rFonts w:eastAsia="黑体"/>
                <w:color w:val="auto"/>
                <w:kern w:val="0"/>
                <w:szCs w:val="21"/>
              </w:rPr>
              <w:t>评定标准、评分细则</w:t>
            </w:r>
          </w:p>
        </w:tc>
        <w:tc>
          <w:tcPr>
            <w:tcW w:w="6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9BED63">
            <w:pPr>
              <w:widowControl/>
              <w:spacing w:line="560" w:lineRule="exact"/>
              <w:jc w:val="center"/>
              <w:textAlignment w:val="top"/>
              <w:rPr>
                <w:rFonts w:eastAsia="黑体"/>
                <w:color w:val="auto"/>
                <w:szCs w:val="21"/>
              </w:rPr>
            </w:pPr>
            <w:r>
              <w:rPr>
                <w:rFonts w:eastAsia="黑体"/>
                <w:color w:val="auto"/>
                <w:szCs w:val="21"/>
              </w:rPr>
              <w:t>得分</w:t>
            </w:r>
          </w:p>
        </w:tc>
        <w:tc>
          <w:tcPr>
            <w:tcW w:w="1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62B3D">
            <w:pPr>
              <w:widowControl/>
              <w:spacing w:line="560" w:lineRule="exact"/>
              <w:jc w:val="center"/>
              <w:textAlignment w:val="top"/>
              <w:rPr>
                <w:rFonts w:eastAsia="黑体"/>
                <w:color w:val="auto"/>
                <w:szCs w:val="21"/>
              </w:rPr>
            </w:pPr>
            <w:r>
              <w:rPr>
                <w:rFonts w:eastAsia="黑体"/>
                <w:color w:val="auto"/>
                <w:kern w:val="0"/>
                <w:szCs w:val="21"/>
              </w:rPr>
              <w:t>佐证材料</w:t>
            </w:r>
          </w:p>
        </w:tc>
      </w:tr>
      <w:tr w14:paraId="4BBE3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3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A85CC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一</w:t>
            </w:r>
          </w:p>
          <w:p w14:paraId="6A91B0E4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sz w:val="24"/>
              </w:rPr>
              <w:t>经营实力</w:t>
            </w:r>
          </w:p>
          <w:p w14:paraId="6BBA21F3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（28分）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E91D77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1</w:t>
            </w:r>
          </w:p>
        </w:tc>
        <w:tc>
          <w:tcPr>
            <w:tcW w:w="1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8E14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企业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注册</w:t>
            </w:r>
            <w:r>
              <w:rPr>
                <w:rFonts w:eastAsia="仿宋_GB2312"/>
                <w:color w:val="auto"/>
                <w:kern w:val="0"/>
                <w:szCs w:val="21"/>
              </w:rPr>
              <w:t>资金</w:t>
            </w:r>
          </w:p>
        </w:tc>
        <w:tc>
          <w:tcPr>
            <w:tcW w:w="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47F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5</w:t>
            </w:r>
          </w:p>
        </w:tc>
        <w:tc>
          <w:tcPr>
            <w:tcW w:w="3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0B7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注册资金200万以下得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3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分，200万元（含）及以上得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5</w:t>
            </w:r>
            <w:r>
              <w:rPr>
                <w:rFonts w:eastAsia="仿宋_GB2312"/>
                <w:color w:val="auto"/>
                <w:kern w:val="0"/>
                <w:szCs w:val="21"/>
              </w:rPr>
              <w:t>分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E3D080A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A1BE6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营业执照</w:t>
            </w:r>
          </w:p>
        </w:tc>
      </w:tr>
      <w:tr w14:paraId="453434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  <w:jc w:val="center"/>
        </w:trPr>
        <w:tc>
          <w:tcPr>
            <w:tcW w:w="13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D38B1B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F7DD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0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92BAA0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承接大型学生团队业务</w:t>
            </w:r>
          </w:p>
        </w:tc>
        <w:tc>
          <w:tcPr>
            <w:tcW w:w="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F304B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6</w:t>
            </w:r>
          </w:p>
        </w:tc>
        <w:tc>
          <w:tcPr>
            <w:tcW w:w="3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6A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单次有承接学生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2</w:t>
            </w:r>
            <w:r>
              <w:rPr>
                <w:rFonts w:eastAsia="仿宋_GB2312"/>
                <w:color w:val="auto"/>
                <w:kern w:val="0"/>
                <w:szCs w:val="21"/>
              </w:rPr>
              <w:t>00人以上学生团队经验得2分，300人以上学生团队经验得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3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分，500人以上学生团队经验得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4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分，800人以上学生团队经验得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5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分，1000人以上学生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团队</w:t>
            </w:r>
            <w:r>
              <w:rPr>
                <w:rFonts w:eastAsia="仿宋_GB2312"/>
                <w:color w:val="auto"/>
                <w:kern w:val="0"/>
                <w:szCs w:val="21"/>
              </w:rPr>
              <w:t>经验得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6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分（取最高分，不累加）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0A348A0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56D4C7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相关活动合同</w:t>
            </w:r>
          </w:p>
        </w:tc>
      </w:tr>
      <w:tr w14:paraId="5A47C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13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3CCDC9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5A081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20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0D1759">
            <w:pPr>
              <w:rPr>
                <w:color w:val="auto"/>
              </w:rPr>
            </w:pPr>
          </w:p>
        </w:tc>
        <w:tc>
          <w:tcPr>
            <w:tcW w:w="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00A25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5</w:t>
            </w:r>
          </w:p>
        </w:tc>
        <w:tc>
          <w:tcPr>
            <w:tcW w:w="3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7A3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近2年累计接待学生1000人以上得4分，2000人以上得5分，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1</w:t>
            </w:r>
            <w:r>
              <w:rPr>
                <w:rFonts w:eastAsia="仿宋_GB2312"/>
                <w:color w:val="auto"/>
                <w:kern w:val="0"/>
                <w:szCs w:val="21"/>
              </w:rPr>
              <w:t>000人以下不得分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76271DB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5AAC4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相关活动合同</w:t>
            </w:r>
          </w:p>
        </w:tc>
      </w:tr>
      <w:tr w14:paraId="103BC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exact"/>
          <w:jc w:val="center"/>
        </w:trPr>
        <w:tc>
          <w:tcPr>
            <w:tcW w:w="13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33E66">
            <w:pPr>
              <w:rPr>
                <w:color w:val="auto"/>
              </w:rPr>
            </w:pPr>
          </w:p>
        </w:tc>
        <w:tc>
          <w:tcPr>
            <w:tcW w:w="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C67F4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2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31D7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旅行社责任保险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/组织者责任险</w:t>
            </w:r>
          </w:p>
          <w:p w14:paraId="702BF3CC">
            <w:pPr>
              <w:adjustRightInd w:val="0"/>
              <w:snapToGrid w:val="0"/>
              <w:spacing w:line="240" w:lineRule="exac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25AD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3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A9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hint="eastAsia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单位必须购买有责任险</w:t>
            </w:r>
            <w:r>
              <w:rPr>
                <w:rFonts w:eastAsia="仿宋_GB2312"/>
                <w:color w:val="auto"/>
                <w:kern w:val="0"/>
                <w:szCs w:val="21"/>
              </w:rPr>
              <w:t>，单次事故赔付不低于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eastAsia="仿宋_GB2312"/>
                <w:color w:val="auto"/>
                <w:kern w:val="0"/>
                <w:szCs w:val="21"/>
              </w:rPr>
              <w:t>00万元（含），得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分；单次事故赔付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color w:val="auto"/>
                <w:kern w:val="0"/>
                <w:szCs w:val="21"/>
              </w:rPr>
              <w:t>00万元（含）-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eastAsia="仿宋_GB2312"/>
                <w:color w:val="auto"/>
                <w:kern w:val="0"/>
                <w:szCs w:val="21"/>
              </w:rPr>
              <w:t>00万元的，得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eastAsia="仿宋_GB2312"/>
                <w:color w:val="auto"/>
                <w:kern w:val="0"/>
                <w:szCs w:val="21"/>
              </w:rPr>
              <w:t>分</w:t>
            </w:r>
            <w:r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  <w:t>；</w:t>
            </w:r>
            <w:r>
              <w:rPr>
                <w:rFonts w:eastAsia="仿宋_GB2312"/>
                <w:color w:val="auto"/>
                <w:kern w:val="0"/>
                <w:szCs w:val="21"/>
              </w:rPr>
              <w:t>单次事故赔付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eastAsia="仿宋_GB2312"/>
                <w:color w:val="auto"/>
                <w:kern w:val="0"/>
                <w:szCs w:val="21"/>
              </w:rPr>
              <w:t>00万元（含）-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color w:val="auto"/>
                <w:kern w:val="0"/>
                <w:szCs w:val="21"/>
              </w:rPr>
              <w:t>00万元的，得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eastAsia="仿宋_GB2312"/>
                <w:color w:val="auto"/>
                <w:kern w:val="0"/>
                <w:szCs w:val="21"/>
              </w:rPr>
              <w:t>分</w:t>
            </w:r>
            <w:r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  <w:t>；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002085B4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282D47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bidi="ar"/>
              </w:rPr>
              <w:t>保险公司合同</w:t>
            </w:r>
          </w:p>
        </w:tc>
      </w:tr>
      <w:tr w14:paraId="6EA87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3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7F480">
            <w:pPr>
              <w:rPr>
                <w:color w:val="auto"/>
              </w:rPr>
            </w:pPr>
          </w:p>
        </w:tc>
        <w:tc>
          <w:tcPr>
            <w:tcW w:w="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419AE">
            <w:pPr>
              <w:rPr>
                <w:color w:val="auto"/>
              </w:rPr>
            </w:pPr>
          </w:p>
        </w:tc>
        <w:tc>
          <w:tcPr>
            <w:tcW w:w="12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261BC">
            <w:pPr>
              <w:rPr>
                <w:color w:val="auto"/>
              </w:rPr>
            </w:pPr>
          </w:p>
        </w:tc>
        <w:tc>
          <w:tcPr>
            <w:tcW w:w="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CE1F9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3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5DC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hint="default" w:eastAsia="仿宋_GB2312"/>
                <w:color w:val="auto"/>
                <w:szCs w:val="21"/>
                <w:lang w:val="en-US" w:eastAsia="zh-CN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签约正规保险公司，单人赔偿限额低于20</w:t>
            </w:r>
            <w:r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  <w:t>万元</w:t>
            </w:r>
            <w:r>
              <w:rPr>
                <w:rFonts w:eastAsia="仿宋_GB2312"/>
                <w:color w:val="auto"/>
                <w:kern w:val="0"/>
                <w:szCs w:val="21"/>
              </w:rPr>
              <w:t>不得分，20万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元（含）-50万元</w:t>
            </w:r>
            <w:r>
              <w:rPr>
                <w:rFonts w:eastAsia="仿宋_GB2312"/>
                <w:color w:val="auto"/>
                <w:kern w:val="0"/>
                <w:szCs w:val="21"/>
              </w:rPr>
              <w:t>得2分</w:t>
            </w:r>
            <w:r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  <w:t>，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50万元及以上得4分。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FC9C10B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3B261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保险公司合同</w:t>
            </w:r>
          </w:p>
        </w:tc>
      </w:tr>
      <w:tr w14:paraId="5ED40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4879C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</w:p>
          <w:p w14:paraId="53C43F2A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二</w:t>
            </w:r>
          </w:p>
          <w:p w14:paraId="40D8CA56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专业队伍</w:t>
            </w:r>
          </w:p>
          <w:p w14:paraId="05FCE19E">
            <w:pPr>
              <w:adjustRightInd w:val="0"/>
              <w:snapToGrid w:val="0"/>
              <w:spacing w:line="400" w:lineRule="exact"/>
              <w:jc w:val="center"/>
              <w:rPr>
                <w:color w:val="auto"/>
                <w:sz w:val="22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（19分）</w:t>
            </w:r>
          </w:p>
        </w:tc>
        <w:tc>
          <w:tcPr>
            <w:tcW w:w="4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F3E41F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4756B2B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051E4D91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1</w:t>
            </w:r>
          </w:p>
          <w:p w14:paraId="5F0708B7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347D8CA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  <w:p w14:paraId="1B5DD10F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  <w:p w14:paraId="743B4A64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  <w:p w14:paraId="331E872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207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A1AEF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450EC7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2AD6A11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68B6962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6ADB413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2262A37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2576331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从业人员</w:t>
            </w:r>
          </w:p>
          <w:p w14:paraId="4D5239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  <w:p w14:paraId="197881F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  <w:p w14:paraId="0731A11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  <w:p w14:paraId="202C36C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  <w:p w14:paraId="4C56DCA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  <w:p w14:paraId="44FFDFC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</w:p>
          <w:p w14:paraId="5FA7928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346755B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66CE9C5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 w14:paraId="239FA123">
            <w:pPr>
              <w:widowControl/>
              <w:adjustRightInd w:val="0"/>
              <w:snapToGrid w:val="0"/>
              <w:spacing w:line="240" w:lineRule="exact"/>
              <w:textAlignment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745B9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4</w:t>
            </w:r>
          </w:p>
        </w:tc>
        <w:tc>
          <w:tcPr>
            <w:tcW w:w="3321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48D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设置专门的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部门，具有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3人（含）以内部门专职员工每人得1分</w:t>
            </w:r>
          </w:p>
          <w:p w14:paraId="6850B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，每多1人加0.5分，最高4分，没有不得分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5F21987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AE7F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部门架构及制度，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劳动合同</w:t>
            </w:r>
            <w:r>
              <w:rPr>
                <w:rFonts w:eastAsia="仿宋_GB2312"/>
                <w:color w:val="auto"/>
                <w:kern w:val="0"/>
                <w:szCs w:val="21"/>
              </w:rPr>
              <w:t>满三月以上</w:t>
            </w:r>
          </w:p>
        </w:tc>
      </w:tr>
      <w:tr w14:paraId="42B71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3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42BB9E">
            <w:pPr>
              <w:rPr>
                <w:color w:val="auto"/>
              </w:rPr>
            </w:pPr>
          </w:p>
        </w:tc>
        <w:tc>
          <w:tcPr>
            <w:tcW w:w="4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0AEF2">
            <w:pPr>
              <w:rPr>
                <w:color w:val="auto"/>
              </w:rPr>
            </w:pPr>
          </w:p>
        </w:tc>
        <w:tc>
          <w:tcPr>
            <w:tcW w:w="1207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A65F67">
            <w:pPr>
              <w:rPr>
                <w:color w:val="auto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F739A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4</w:t>
            </w:r>
          </w:p>
        </w:tc>
        <w:tc>
          <w:tcPr>
            <w:tcW w:w="33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8B6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有在职持证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实践教育导师</w:t>
            </w:r>
            <w:r>
              <w:rPr>
                <w:rFonts w:eastAsia="仿宋_GB2312"/>
                <w:color w:val="auto"/>
                <w:kern w:val="0"/>
                <w:szCs w:val="21"/>
              </w:rPr>
              <w:t>2人以上得4分，2名以下不得分</w:t>
            </w:r>
          </w:p>
        </w:tc>
        <w:tc>
          <w:tcPr>
            <w:tcW w:w="69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7ED73972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BAA7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相关证书（持有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研学实践教育导师证、</w:t>
            </w:r>
            <w:r>
              <w:rPr>
                <w:rFonts w:eastAsia="仿宋_GB2312"/>
                <w:color w:val="auto"/>
                <w:kern w:val="0"/>
                <w:szCs w:val="21"/>
              </w:rPr>
              <w:t>教师资格证或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研学教育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相关专业高校毕业证书），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劳动合同</w:t>
            </w:r>
            <w:r>
              <w:rPr>
                <w:rFonts w:eastAsia="仿宋_GB2312"/>
                <w:color w:val="auto"/>
                <w:kern w:val="0"/>
                <w:szCs w:val="21"/>
              </w:rPr>
              <w:t>满三月以上</w:t>
            </w:r>
          </w:p>
        </w:tc>
      </w:tr>
      <w:tr w14:paraId="0B975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4D15C">
            <w:pPr>
              <w:rPr>
                <w:color w:val="auto"/>
              </w:rPr>
            </w:pPr>
          </w:p>
        </w:tc>
        <w:tc>
          <w:tcPr>
            <w:tcW w:w="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9C9B0">
            <w:pPr>
              <w:rPr>
                <w:color w:val="auto"/>
              </w:rPr>
            </w:pPr>
          </w:p>
        </w:tc>
        <w:tc>
          <w:tcPr>
            <w:tcW w:w="120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25E9F">
            <w:pPr>
              <w:rPr>
                <w:color w:val="auto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EBA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4</w:t>
            </w:r>
          </w:p>
        </w:tc>
        <w:tc>
          <w:tcPr>
            <w:tcW w:w="3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B1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有持证上岗导游，有1人得3分，有2人及以上得4分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C9CF8F4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39E8E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相应人员导游证</w:t>
            </w:r>
          </w:p>
        </w:tc>
      </w:tr>
      <w:tr w14:paraId="1A94B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  <w:jc w:val="center"/>
        </w:trPr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7688A">
            <w:pPr>
              <w:rPr>
                <w:color w:val="auto"/>
              </w:rPr>
            </w:pPr>
          </w:p>
        </w:tc>
        <w:tc>
          <w:tcPr>
            <w:tcW w:w="48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EB33C9">
            <w:pPr>
              <w:rPr>
                <w:color w:val="auto"/>
              </w:rPr>
            </w:pPr>
          </w:p>
        </w:tc>
        <w:tc>
          <w:tcPr>
            <w:tcW w:w="1207" w:type="dxa"/>
            <w:vMerge w:val="continue"/>
            <w:tcBorders>
              <w:top w:val="single" w:color="auto" w:sz="4" w:space="0"/>
              <w:left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A33AA0">
            <w:pPr>
              <w:rPr>
                <w:color w:val="auto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42DD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3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FB0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有持证上岗的，符合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要求的安全员，有1人得2分，有2人及以上得3分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27F9F77">
            <w:pPr>
              <w:tabs>
                <w:tab w:val="left" w:pos="389"/>
              </w:tabs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1D1AF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户外应急救护证</w:t>
            </w:r>
          </w:p>
        </w:tc>
      </w:tr>
      <w:tr w14:paraId="5580D4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11F97B">
            <w:pPr>
              <w:rPr>
                <w:color w:val="auto"/>
              </w:rPr>
            </w:pPr>
          </w:p>
        </w:tc>
        <w:tc>
          <w:tcPr>
            <w:tcW w:w="4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1A1F34">
            <w:pPr>
              <w:rPr>
                <w:color w:val="auto"/>
              </w:rPr>
            </w:pPr>
          </w:p>
        </w:tc>
        <w:tc>
          <w:tcPr>
            <w:tcW w:w="1207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ECE7A">
            <w:pPr>
              <w:rPr>
                <w:color w:val="auto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A13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A9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聘请行业专家、非遗传承人等作为特聘讲解员的，每1人得1分，最高得2分，没有则不得分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C22854F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4C6BC3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相关专家、传承人证明材料</w:t>
            </w:r>
          </w:p>
        </w:tc>
      </w:tr>
      <w:tr w14:paraId="7A5A9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1AD98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8162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2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B1601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从业人员业务培训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D8C04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FEF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有业务培训的图文资料记载，每有1次得1分，最高得2分，没有则不得分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2D22443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C4E4E6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培训相关资料</w:t>
            </w:r>
          </w:p>
        </w:tc>
      </w:tr>
      <w:tr w14:paraId="61375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 w:hRule="atLeast"/>
          <w:jc w:val="center"/>
        </w:trPr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D2090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三</w:t>
            </w:r>
          </w:p>
          <w:p w14:paraId="019E532B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hint="eastAsia" w:eastAsia="黑体"/>
                <w:color w:val="auto"/>
                <w:kern w:val="0"/>
                <w:sz w:val="24"/>
              </w:rPr>
              <w:t>综合实践教育</w:t>
            </w:r>
            <w:r>
              <w:rPr>
                <w:rFonts w:eastAsia="黑体"/>
                <w:color w:val="auto"/>
                <w:kern w:val="0"/>
                <w:sz w:val="24"/>
              </w:rPr>
              <w:t>产品</w:t>
            </w:r>
          </w:p>
          <w:p w14:paraId="4A681E97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color w:val="auto"/>
                <w:sz w:val="22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（29分）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C3B60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1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A4823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课程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9A3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42D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符合教育教学要求的主题课程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eastAsia="仿宋_GB2312"/>
                <w:color w:val="auto"/>
                <w:kern w:val="0"/>
                <w:szCs w:val="21"/>
              </w:rPr>
              <w:t>个以上得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分，每多1个加0.5分，不够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eastAsia="仿宋_GB2312"/>
                <w:color w:val="auto"/>
                <w:kern w:val="0"/>
                <w:szCs w:val="21"/>
              </w:rPr>
              <w:t>个不得分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3B04B52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B9FEA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相关课程资料。提供的每一个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课程须有教学内容、流程、课件、执行方案，安全注意事项。</w:t>
            </w:r>
          </w:p>
        </w:tc>
      </w:tr>
      <w:tr w14:paraId="2A8464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7833A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5BC1B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2</w:t>
            </w:r>
          </w:p>
        </w:tc>
        <w:tc>
          <w:tcPr>
            <w:tcW w:w="1207" w:type="dxa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640E8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课程学段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9AE03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4</w:t>
            </w:r>
          </w:p>
        </w:tc>
        <w:tc>
          <w:tcPr>
            <w:tcW w:w="3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97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课程分别设计小学、初中、高中学段内容，设计有小学、初中、高中的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课程2个（含）以上得3分，每多一个加0.5分，不够2个不得分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8FA0E7E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AAA92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提供的每一个课程须有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4</w:t>
            </w:r>
            <w:r>
              <w:rPr>
                <w:rFonts w:eastAsia="仿宋_GB2312"/>
                <w:color w:val="auto"/>
                <w:kern w:val="0"/>
                <w:szCs w:val="21"/>
              </w:rPr>
              <w:t>个学段的内容</w:t>
            </w:r>
          </w:p>
        </w:tc>
      </w:tr>
      <w:tr w14:paraId="45A41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6D9460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40002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3</w:t>
            </w:r>
          </w:p>
        </w:tc>
        <w:tc>
          <w:tcPr>
            <w:tcW w:w="1207" w:type="dxa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E123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课程目标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8DA5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3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99F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针对不同学段学生，制定了不同的学段目标，按一般、良好、优等分别给予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eastAsia="仿宋_GB2312"/>
                <w:color w:val="auto"/>
                <w:kern w:val="0"/>
                <w:szCs w:val="21"/>
              </w:rPr>
              <w:t>分、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color w:val="auto"/>
                <w:kern w:val="0"/>
                <w:szCs w:val="21"/>
              </w:rPr>
              <w:t>分、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分，没有则不得分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A2557E3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D6F004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提供课程目标内容</w:t>
            </w:r>
          </w:p>
        </w:tc>
      </w:tr>
      <w:tr w14:paraId="564B8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DF77F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AFE66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4</w:t>
            </w:r>
          </w:p>
        </w:tc>
        <w:tc>
          <w:tcPr>
            <w:tcW w:w="1207" w:type="dxa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E02C6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材料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D722F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3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7EC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课程有供学生使用的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手册2个（含）以上得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分，每多1个加0.5分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7F2E2690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C2788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提供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手册</w:t>
            </w:r>
          </w:p>
        </w:tc>
      </w:tr>
      <w:tr w14:paraId="29A49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00A4A4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72CF6B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5</w:t>
            </w:r>
          </w:p>
        </w:tc>
        <w:tc>
          <w:tcPr>
            <w:tcW w:w="1207" w:type="dxa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B4A18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评价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D569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3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E7C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服务项目及评价办法，按一般、良好、优等分别计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eastAsia="仿宋_GB2312"/>
                <w:color w:val="auto"/>
                <w:kern w:val="0"/>
                <w:szCs w:val="21"/>
              </w:rPr>
              <w:t>分、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eastAsia="仿宋_GB2312"/>
                <w:color w:val="auto"/>
                <w:kern w:val="0"/>
                <w:szCs w:val="21"/>
              </w:rPr>
              <w:t>分、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eastAsia="仿宋_GB2312"/>
                <w:color w:val="auto"/>
                <w:kern w:val="0"/>
                <w:szCs w:val="21"/>
              </w:rPr>
              <w:t>分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，</w:t>
            </w:r>
            <w:r>
              <w:rPr>
                <w:rFonts w:eastAsia="仿宋_GB2312"/>
                <w:color w:val="auto"/>
                <w:kern w:val="0"/>
                <w:szCs w:val="21"/>
              </w:rPr>
              <w:t>没有不得分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9FC079A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D889E3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相关管理办法</w:t>
            </w:r>
          </w:p>
        </w:tc>
      </w:tr>
      <w:tr w14:paraId="38E46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80A457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02FF3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6</w:t>
            </w:r>
          </w:p>
        </w:tc>
        <w:tc>
          <w:tcPr>
            <w:tcW w:w="1207" w:type="dxa"/>
            <w:tcBorders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1318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行前教育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964B7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eastAsia="仿宋_GB2312"/>
                <w:color w:val="auto"/>
                <w:szCs w:val="21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3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07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有行前教育和文明旅游教育计划，内容合理，教育规范得</w:t>
            </w:r>
            <w:r>
              <w:rPr>
                <w:rFonts w:hint="eastAsia" w:eastAsia="仿宋_GB2312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eastAsia="仿宋_GB2312"/>
                <w:color w:val="auto"/>
                <w:kern w:val="0"/>
                <w:szCs w:val="21"/>
              </w:rPr>
              <w:t>分。计划方案设计不规范、缺乏可操作性不得分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04C9CCC"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879517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相关管理办法</w:t>
            </w:r>
          </w:p>
        </w:tc>
      </w:tr>
      <w:tr w14:paraId="267B0A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  <w:jc w:val="center"/>
        </w:trPr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8F08A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四</w:t>
            </w:r>
          </w:p>
          <w:p w14:paraId="298A4366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服务内容</w:t>
            </w:r>
          </w:p>
          <w:p w14:paraId="059FCFD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（10分）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CF951C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1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E10C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目的地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1646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4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60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与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目的地（景区景点、基地营地）签订有正规合作协议，每一份得1分，最高得4分，无合作协议或无合作证明不得分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BA00272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09D31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签订基地合作合同</w:t>
            </w:r>
          </w:p>
        </w:tc>
      </w:tr>
      <w:tr w14:paraId="134D09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jc w:val="center"/>
        </w:trPr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2CE17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810A2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45AE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交通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AEF872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B7A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与具有相应道路旅游客运输经营资质的运输企业合作。合作单位资质齐全且双方签订有合同得2分，无合作协议或无合作证明不得分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72076F4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8287B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签订的车企合作协议</w:t>
            </w:r>
          </w:p>
        </w:tc>
      </w:tr>
      <w:tr w14:paraId="69A8D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9F3464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6CCA70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3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4D985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餐食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81898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90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与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目的地合法餐饮企业签订有正规合作协议，每一份得1分，最高得2分，无合作协议或无合作证明不得分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FD90446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AD716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签订的食宿合作协议</w:t>
            </w:r>
          </w:p>
        </w:tc>
      </w:tr>
      <w:tr w14:paraId="751E8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2CAB57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AB422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4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9A6D5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住宿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1083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93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与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目的地合法住宿企业签订有正规合作协议每一份得1分</w:t>
            </w:r>
            <w:r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  <w:t>，</w:t>
            </w:r>
            <w:r>
              <w:rPr>
                <w:rFonts w:eastAsia="仿宋_GB2312"/>
                <w:color w:val="auto"/>
                <w:kern w:val="0"/>
                <w:szCs w:val="21"/>
              </w:rPr>
              <w:t>最高得2分，无合作协议或无合作证明不得分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0F1BABB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8C2817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签订的住宿企业合作协议</w:t>
            </w:r>
          </w:p>
        </w:tc>
      </w:tr>
      <w:tr w14:paraId="78B62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AC9F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五</w:t>
            </w:r>
          </w:p>
          <w:p w14:paraId="1F71DD5C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安全保障</w:t>
            </w:r>
          </w:p>
          <w:p w14:paraId="212C8B8E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（8分）</w:t>
            </w:r>
          </w:p>
          <w:p w14:paraId="28FA155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1B0FBC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1</w:t>
            </w:r>
          </w:p>
        </w:tc>
        <w:tc>
          <w:tcPr>
            <w:tcW w:w="120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F2F6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安全制度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FCC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D0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综合实践教育</w:t>
            </w:r>
            <w:r>
              <w:rPr>
                <w:rFonts w:eastAsia="仿宋_GB2312"/>
                <w:color w:val="auto"/>
                <w:kern w:val="0"/>
                <w:szCs w:val="21"/>
              </w:rPr>
              <w:t>安全管理工作制度和未成</w:t>
            </w:r>
            <w:r>
              <w:rPr>
                <w:rFonts w:hint="eastAsia" w:eastAsia="仿宋_GB2312"/>
                <w:color w:val="auto"/>
                <w:kern w:val="0"/>
                <w:szCs w:val="21"/>
                <w:lang w:eastAsia="zh-CN"/>
              </w:rPr>
              <w:t>年人</w:t>
            </w:r>
            <w:r>
              <w:rPr>
                <w:rFonts w:eastAsia="仿宋_GB2312"/>
                <w:color w:val="auto"/>
                <w:kern w:val="0"/>
                <w:szCs w:val="21"/>
              </w:rPr>
              <w:t>监护办法，每项得1分，最高得2分，没有不得分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C3EA5BA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9BD40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相关制度和落实佐证材料</w:t>
            </w:r>
          </w:p>
        </w:tc>
      </w:tr>
      <w:tr w14:paraId="6E78D7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F836B5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C86B3A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1207" w:type="dxa"/>
            <w:vMerge w:val="continue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276B3">
            <w:pPr>
              <w:rPr>
                <w:color w:val="auto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E5D4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C7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每年定期开展员工安全教育、培训专项工作，每1次得1分，最高得2分，没有不得分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47A1274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78DD3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佐证材料</w:t>
            </w:r>
          </w:p>
        </w:tc>
      </w:tr>
      <w:tr w14:paraId="34C5A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7C0B7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139FA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3</w:t>
            </w:r>
          </w:p>
        </w:tc>
        <w:tc>
          <w:tcPr>
            <w:tcW w:w="1207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C0F0D3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应急预案</w:t>
            </w:r>
          </w:p>
          <w:p w14:paraId="755BCA66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服务质量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BB934C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3</w:t>
            </w:r>
          </w:p>
        </w:tc>
        <w:tc>
          <w:tcPr>
            <w:tcW w:w="3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AF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有涉及地震、火灾、食品卫生、治安事件、设施设备突发故障等在内的各项突发事件应急预案，内容完整规范得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3</w:t>
            </w:r>
            <w:r>
              <w:rPr>
                <w:rFonts w:eastAsia="仿宋_GB2312"/>
                <w:color w:val="auto"/>
                <w:kern w:val="0"/>
                <w:szCs w:val="21"/>
              </w:rPr>
              <w:t>分，内容不完备不规范减1分，没有不得分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AFA25BB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92595E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相关制度和落实佐证材料</w:t>
            </w:r>
          </w:p>
        </w:tc>
      </w:tr>
      <w:tr w14:paraId="6FF72C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40CCD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7F9AC7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4</w:t>
            </w:r>
          </w:p>
        </w:tc>
        <w:tc>
          <w:tcPr>
            <w:tcW w:w="1207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461225">
            <w:pPr>
              <w:rPr>
                <w:color w:val="auto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58AF1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1</w:t>
            </w:r>
          </w:p>
        </w:tc>
        <w:tc>
          <w:tcPr>
            <w:tcW w:w="3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AF7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三年内有开展应急演练的图文资料得1分，没有不得分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08B0601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DD2C3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佐证材料</w:t>
            </w:r>
          </w:p>
        </w:tc>
      </w:tr>
      <w:tr w14:paraId="3F1A0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53E85B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六</w:t>
            </w:r>
          </w:p>
          <w:p w14:paraId="41D5E33B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社会评价</w:t>
            </w:r>
          </w:p>
          <w:p w14:paraId="5A678EA6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kern w:val="0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（6分）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0E3B8B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1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D8C2A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获奖情况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00E7B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30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三年内获得市级以上相关表彰、奖励的，每一项得1分，最高得2分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2D7BDD0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CA7D7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佐证材料</w:t>
            </w:r>
          </w:p>
        </w:tc>
      </w:tr>
      <w:tr w14:paraId="7333A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F6AC3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EFC25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5C5E2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减免政策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840929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461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有针对贫困家庭学生费用减免政策得2分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DBE2C39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98737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佐证材料</w:t>
            </w:r>
          </w:p>
        </w:tc>
      </w:tr>
      <w:tr w14:paraId="6FADA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33A9F">
            <w:pPr>
              <w:rPr>
                <w:color w:val="auto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F460E2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  <w:u w:val="single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3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A6C1CD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szCs w:val="21"/>
                <w:u w:val="single"/>
              </w:rPr>
            </w:pPr>
            <w:r>
              <w:rPr>
                <w:rFonts w:eastAsia="仿宋_GB2312"/>
                <w:color w:val="auto"/>
                <w:szCs w:val="21"/>
              </w:rPr>
              <w:t>课后评价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FD44E">
            <w:pPr>
              <w:widowControl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color w:val="auto"/>
                <w:kern w:val="0"/>
                <w:szCs w:val="21"/>
                <w:u w:val="single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2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BC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textAlignment w:val="center"/>
              <w:rPr>
                <w:rFonts w:eastAsia="仿宋_GB2312"/>
                <w:color w:val="auto"/>
                <w:kern w:val="0"/>
                <w:szCs w:val="21"/>
                <w:u w:val="single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有完整的课后评价机制得</w:t>
            </w:r>
            <w:r>
              <w:rPr>
                <w:rFonts w:hint="eastAsia" w:eastAsia="仿宋_GB2312"/>
                <w:color w:val="auto"/>
                <w:kern w:val="0"/>
                <w:szCs w:val="21"/>
              </w:rPr>
              <w:t>2</w:t>
            </w:r>
            <w:r>
              <w:rPr>
                <w:rFonts w:eastAsia="仿宋_GB2312"/>
                <w:color w:val="auto"/>
                <w:kern w:val="0"/>
                <w:szCs w:val="21"/>
              </w:rPr>
              <w:t>分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67C90AE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  <w:u w:val="single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3F4F2">
            <w:pPr>
              <w:widowControl/>
              <w:adjustRightInd w:val="0"/>
              <w:snapToGrid w:val="0"/>
              <w:spacing w:line="240" w:lineRule="exact"/>
              <w:jc w:val="center"/>
              <w:textAlignment w:val="top"/>
              <w:rPr>
                <w:rFonts w:eastAsia="仿宋_GB2312"/>
                <w:color w:val="auto"/>
                <w:kern w:val="0"/>
                <w:szCs w:val="21"/>
                <w:u w:val="single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佐证材料</w:t>
            </w:r>
          </w:p>
        </w:tc>
      </w:tr>
      <w:tr w14:paraId="37113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3065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CC23D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黑体"/>
                <w:color w:val="auto"/>
                <w:sz w:val="24"/>
              </w:rPr>
            </w:pPr>
            <w:r>
              <w:rPr>
                <w:rFonts w:eastAsia="黑体"/>
                <w:color w:val="auto"/>
                <w:kern w:val="0"/>
                <w:sz w:val="24"/>
              </w:rPr>
              <w:t>合计</w:t>
            </w:r>
          </w:p>
        </w:tc>
        <w:tc>
          <w:tcPr>
            <w:tcW w:w="6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299612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eastAsia="仿宋_GB2312"/>
                <w:color w:val="auto"/>
                <w:szCs w:val="21"/>
              </w:rPr>
              <w:t>100</w:t>
            </w:r>
          </w:p>
        </w:tc>
        <w:tc>
          <w:tcPr>
            <w:tcW w:w="332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FE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13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74023BF">
            <w:pPr>
              <w:adjustRightInd w:val="0"/>
              <w:snapToGrid w:val="0"/>
              <w:spacing w:line="240" w:lineRule="exact"/>
              <w:jc w:val="left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C829CD">
            <w:pPr>
              <w:adjustRightInd w:val="0"/>
              <w:snapToGrid w:val="0"/>
              <w:spacing w:line="240" w:lineRule="exact"/>
              <w:rPr>
                <w:color w:val="auto"/>
                <w:sz w:val="22"/>
              </w:rPr>
            </w:pPr>
          </w:p>
        </w:tc>
      </w:tr>
    </w:tbl>
    <w:p w14:paraId="5D1C1F47">
      <w:pPr>
        <w:rPr>
          <w:rFonts w:ascii="宋体" w:cs="宋体"/>
          <w:color w:val="auto"/>
          <w:sz w:val="28"/>
          <w:szCs w:val="28"/>
        </w:rPr>
      </w:pPr>
    </w:p>
    <w:p w14:paraId="36854AD5"/>
    <w:sectPr>
      <w:pgSz w:w="11906" w:h="16838"/>
      <w:pgMar w:top="2154" w:right="1587" w:bottom="1814" w:left="1587" w:header="851" w:footer="85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DDDFCF"/>
    <w:rsid w:val="7C5F5EFB"/>
    <w:rsid w:val="FADDDF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2026-08-14T00:24:00Z</dcterms:created>
  <dc:creator>jiyijing</dc:creator>
  <cp:lastModifiedBy>6868686868</cp:lastModifiedBy>
  <dcterms:modified xsi:type="dcterms:W3CDTF">2026-08-13T16:47:30Z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F1BD44C1BD5E1847A2847D6AA0526B15_43</vt:lpwstr>
  </property>
</Properties>
</file>