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639D">
      <w:pPr>
        <w:spacing w:after="156" w:afterLines="50"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194EF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EEE0BC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嵩县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第二批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中小学生研学实践教育承办机构</w:t>
      </w:r>
    </w:p>
    <w:p w14:paraId="6C1F6875">
      <w:pPr>
        <w:spacing w:line="560" w:lineRule="exact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评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分标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准</w:t>
      </w:r>
    </w:p>
    <w:tbl>
      <w:tblPr>
        <w:tblStyle w:val="8"/>
        <w:tblW w:w="95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488"/>
        <w:gridCol w:w="1207"/>
        <w:gridCol w:w="621"/>
        <w:gridCol w:w="3321"/>
        <w:gridCol w:w="690"/>
        <w:gridCol w:w="1824"/>
      </w:tblGrid>
      <w:tr w14:paraId="61B1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DAB7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D29F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1FC2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33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2CDD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评定标准、评分细则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7D59D"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得分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2CCDD">
            <w:pPr>
              <w:widowControl/>
              <w:spacing w:line="56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13C36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9316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一</w:t>
            </w:r>
          </w:p>
          <w:p w14:paraId="54DF366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经营实力</w:t>
            </w:r>
          </w:p>
          <w:p w14:paraId="37E2214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（28分）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25661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B29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企业资金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8AB7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6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注册资金200万以下得3分，200万元（含）及以上得5分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2116DC4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2F09C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营业执照</w:t>
            </w:r>
          </w:p>
        </w:tc>
      </w:tr>
      <w:tr w14:paraId="701D2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D03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3BDB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5BEA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经营场所  面积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64FE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5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单位注册地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有120平米以上得3分，100-120平方米的得2分,100平方米以下得1分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1A2A3C6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51D09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租赁合同，实地考察</w:t>
            </w:r>
          </w:p>
        </w:tc>
      </w:tr>
      <w:tr w14:paraId="46FA2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B160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6CEB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5848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承接大型学生团队业务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D414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60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单次有承接学生200人以上学生团队经验得2分，300人以上学生团队经验得3分，500人以上学生团队经验得4分，800人以上学生团队经验得5分，1000人以上学生团队经验得6分（取最高分，不累加）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19ED914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EA17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相关活动合同</w:t>
            </w:r>
          </w:p>
        </w:tc>
      </w:tr>
      <w:tr w14:paraId="0C9AB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C029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2980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D099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7489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22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近2年累计接待学生1000人以上得4分，2000人以上得5分，1000人以下不得分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3C5404D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5060D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相关活动合同</w:t>
            </w:r>
          </w:p>
        </w:tc>
      </w:tr>
      <w:tr w14:paraId="0FDBF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0C0B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E472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733E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旅行社责任保险/组织者责任险</w:t>
            </w:r>
          </w:p>
          <w:p w14:paraId="1DE64C61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6729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B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单位必须购买有责任险，单次事故赔付不低于400万元（含），得5分；单次事故赔付200万元（含）-400万元的，得3分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4C40B8F9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6A441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保险公司合同</w:t>
            </w:r>
          </w:p>
        </w:tc>
      </w:tr>
      <w:tr w14:paraId="51E76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3F16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E997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8E72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F70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45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签约正规保险公司，单人赔偿限额低于20万不得分，20万及以上得2分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9DC3AA3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F92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保险公司合同</w:t>
            </w:r>
          </w:p>
        </w:tc>
      </w:tr>
      <w:tr w14:paraId="507DD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3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A120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97DB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1DA6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入统企业</w:t>
            </w:r>
          </w:p>
        </w:tc>
        <w:tc>
          <w:tcPr>
            <w:tcW w:w="6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5CBB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7BE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属上规入统企业的，得2分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DCAE4F4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B3D5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入统证明</w:t>
            </w:r>
          </w:p>
        </w:tc>
      </w:tr>
      <w:tr w14:paraId="1995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9FEB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 w14:paraId="1590A69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 w14:paraId="29D5596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二</w:t>
            </w:r>
          </w:p>
          <w:p w14:paraId="7D850C5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专业队伍</w:t>
            </w:r>
          </w:p>
          <w:p w14:paraId="4E73726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（19分）</w:t>
            </w:r>
          </w:p>
          <w:p w14:paraId="16D470B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 w14:paraId="09329AD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34CA5F7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78F606D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7F8138D1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  <w:p w14:paraId="7DC76DD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二</w:t>
            </w:r>
          </w:p>
          <w:p w14:paraId="3010365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专业队伍</w:t>
            </w:r>
          </w:p>
          <w:p w14:paraId="3299D0F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（19分）</w:t>
            </w:r>
          </w:p>
        </w:tc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7B26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0A09DA1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67BD115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  <w:p w14:paraId="60AFD96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58912D1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802332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01C7F6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24D22C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5FE401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7DED4E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4BE4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0FE5EE1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7EED24A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06734E9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6CD610F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66D2C53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实践教育从业人员</w:t>
            </w:r>
          </w:p>
          <w:p w14:paraId="03B5650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3C81C2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F04ED6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39AFD3C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703F06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492222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0F06CAB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3C5CD574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6A1E1E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综合实践教育从业人员</w:t>
            </w:r>
          </w:p>
          <w:p w14:paraId="55C3DD8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3772D0C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  <w:p w14:paraId="600EFE62">
            <w:pPr>
              <w:widowControl/>
              <w:adjustRightInd w:val="0"/>
              <w:snapToGrid w:val="0"/>
              <w:spacing w:line="240" w:lineRule="exac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E64E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F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设置专门的实践教育部门，具有3人（含）以内部门专职员工每人得1分</w:t>
            </w:r>
          </w:p>
          <w:p w14:paraId="6256C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，每多1人加0.5分，最高4分，没有不得分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1BAC056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14D2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实践教育部门架构及制度，劳动合同满三月以上</w:t>
            </w:r>
          </w:p>
        </w:tc>
      </w:tr>
      <w:tr w14:paraId="3D4B2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123A4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ADD2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E3EB0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C945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3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E6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有在职持证实践教育导师2人以上得4分，2名以下不得分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7F5FC34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7FB4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相关证书（持有研学实践教育导师证、教师资格证或研学教育相关专业高校毕业证书），劳动合同满三月以上</w:t>
            </w:r>
            <w:bookmarkStart w:id="0" w:name="_GoBack"/>
            <w:bookmarkEnd w:id="0"/>
          </w:p>
        </w:tc>
      </w:tr>
      <w:tr w14:paraId="6033A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7874A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0B43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4441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BA7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EE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有持证上岗导游，有1人得3分，有2人及以上得4分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1C99657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97C6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相应人员导游证</w:t>
            </w:r>
          </w:p>
        </w:tc>
      </w:tr>
      <w:tr w14:paraId="641A8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EAE29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7BCD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3B56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B56D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5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有持证上岗的，符合实践教育要求的安全员，有1人得2分，有2人及以上得3分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966B5D6">
            <w:pPr>
              <w:tabs>
                <w:tab w:val="left" w:pos="389"/>
              </w:tabs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4717E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户外应急救护证</w:t>
            </w:r>
          </w:p>
        </w:tc>
      </w:tr>
      <w:tr w14:paraId="271D0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956A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3844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B36F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B8D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68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聘请行业专家、非遗传承人等作为特聘讲解员的，每1人得1分，最高得2分，没有则不得分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3A92CB12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4B158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相关专家、传承人证明材料</w:t>
            </w:r>
          </w:p>
        </w:tc>
      </w:tr>
      <w:tr w14:paraId="620EE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B7BCE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893F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D03F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从业人员业务培训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ACA3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有业务培训的图文资料记载，每有1次得1分，最高得2分，没有则不得分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457DCD3A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74D39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培训相关资料</w:t>
            </w:r>
          </w:p>
        </w:tc>
      </w:tr>
      <w:tr w14:paraId="68C6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044B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三</w:t>
            </w:r>
          </w:p>
          <w:p w14:paraId="1236DCA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综合实践教育产品</w:t>
            </w:r>
          </w:p>
          <w:p w14:paraId="467498A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（29分）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6AEE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9857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E82C9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2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符合教育教学要求的主题课程2个以上得3分，每多1个加0.5分，不够2个不得分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36A48F0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B0E9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相关课程资料。提供的每一个综合实践教育课程须有教学内容、流程、课件、执行方案，安全注意事项。</w:t>
            </w:r>
          </w:p>
        </w:tc>
      </w:tr>
      <w:tr w14:paraId="525C8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CAFA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7412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73CD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课程学段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5924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6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综合实践教育课程分别设计小学、初中、高中学段内容，设计有小学、初中、高中的综合实践教育课程2个（含）以上得3分，每多一个加0.5分，不够2个不得分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2168A0D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299D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提供的每一个课程须有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个学段的内容</w:t>
            </w:r>
          </w:p>
        </w:tc>
      </w:tr>
      <w:tr w14:paraId="0C69E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6FC6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559B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A6A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课程目标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BDB0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CB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针对不同学段学生，制定了不同的学段目标，按一般、良好、优等分别给予1分、2分、3分，没有则不得分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1EB0683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D23DF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提供课程目标内容</w:t>
            </w:r>
          </w:p>
        </w:tc>
      </w:tr>
      <w:tr w14:paraId="6582A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6CC12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8ABD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0EE8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综合实践教育材料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0A7D0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F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综合实践教育课程有供学生使用的综合实践教育手册2个（含）以上得3分，每多1个加0.5分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66D00C0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DDB89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提供综合实践教育手册</w:t>
            </w:r>
          </w:p>
        </w:tc>
      </w:tr>
      <w:tr w14:paraId="69A59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1743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0DB2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4202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综合实践教育评价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0B38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4E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有综合实践教育服务项目及评价办法，按一般、良好、优等分别计1分、2分、3 分，没有不得分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753FEA6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60AAD1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相关管理办法</w:t>
            </w:r>
          </w:p>
        </w:tc>
      </w:tr>
      <w:tr w14:paraId="5F524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64B1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0D22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8A1C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行前教育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08D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F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有行前教育和文明旅游教育计划，内容合理，教育规范得1分。计划方案设计不规范、缺乏可操作性不得分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B057980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DD46B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相关管理办法</w:t>
            </w:r>
          </w:p>
        </w:tc>
      </w:tr>
      <w:tr w14:paraId="094F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17115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40BC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</w:t>
            </w:r>
          </w:p>
        </w:tc>
        <w:tc>
          <w:tcPr>
            <w:tcW w:w="1207" w:type="dxa"/>
            <w:tcBorders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27A6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收费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549A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7A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综合实践教育产品分项报价清晰合理，体现一定的价格优惠，不以盈利为主要目的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63D5EF7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A7A2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综合实践教育线路产品价格体系</w:t>
            </w:r>
          </w:p>
        </w:tc>
      </w:tr>
      <w:tr w14:paraId="1EF3E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C246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四</w:t>
            </w:r>
          </w:p>
          <w:p w14:paraId="409E62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服务内容</w:t>
            </w:r>
          </w:p>
          <w:p w14:paraId="43EE206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（10分）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DD07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079D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综合实践教育目的地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3BB0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与综合实践教育目的地（景区景点、基地营地）签订有正规合作协议，每一份得1分，最高得4分，无合作协议或无合作证明不得分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B10590C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C3583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签订基地合作合同</w:t>
            </w:r>
          </w:p>
        </w:tc>
      </w:tr>
      <w:tr w14:paraId="60049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5144F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E1CB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9633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交通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173E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10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与具有相应道路旅游客运输经营资质的运输企业合作。合作单位资质齐全且双方签订有合同得2分，无合作协议或无合作证明不得分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EB043D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76EF0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签订的车企合作协议</w:t>
            </w:r>
          </w:p>
        </w:tc>
      </w:tr>
      <w:tr w14:paraId="77A50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2397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4875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9E1A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餐食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04A4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7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与综合实践教育目的地合法餐饮企业签订有正规合作协议，每一份得1分，最高得2分，无合作协议或无合作证明不得分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49E8560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3A2CF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签订的食宿合作协议</w:t>
            </w:r>
          </w:p>
        </w:tc>
      </w:tr>
      <w:tr w14:paraId="4C55F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1B12D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DEC2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8341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住宿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FF2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88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与综合实践教育目的地合法住宿企业签订有正规合作协议每一份得1分，，最高得2分，无合作协议或无合作证明不得分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045F692E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82BC2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签订的住宿企业合作协议</w:t>
            </w:r>
          </w:p>
        </w:tc>
      </w:tr>
      <w:tr w14:paraId="2D19D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70D7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五</w:t>
            </w:r>
          </w:p>
          <w:p w14:paraId="6D2F5B9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安全保障</w:t>
            </w:r>
          </w:p>
          <w:p w14:paraId="2AA27E7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（8分）</w:t>
            </w:r>
          </w:p>
          <w:p w14:paraId="37875AE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934B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3AA3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安全制度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F8DC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0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有综合实践教育安全管理工作制度和未成年监护办法，每项得1分，最高得2分，没有则不得分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1D43AE6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70472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相关制度和落实佐证材料</w:t>
            </w:r>
          </w:p>
        </w:tc>
      </w:tr>
      <w:tr w14:paraId="05B36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7D813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2764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6929B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F43A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2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每年定期开展员工安全教育、培训专项工作，每1次得1分，最高得2分，没有则不得分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6CBB3FE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54796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64EA2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7BBC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EA8A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A67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应急预案</w:t>
            </w:r>
          </w:p>
          <w:p w14:paraId="1D7D27A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服务质量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8D90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68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有涉及地震、火灾、食品卫生、治安事件、设施设备突发故障等在内的各项突发事件应急预案，内容完整规范得3分，内容不完备不规范减1分，没有不得分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1F32A1F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949B7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相关制度和落实佐证材料</w:t>
            </w:r>
          </w:p>
        </w:tc>
      </w:tr>
      <w:tr w14:paraId="3D969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52537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6E16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120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EB238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5606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3A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三年内有开展应急演练的图文资料得1分，没有则不得分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6A884DE4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783CA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30056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39CF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六</w:t>
            </w:r>
          </w:p>
          <w:p w14:paraId="79BB625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社会评价</w:t>
            </w:r>
          </w:p>
          <w:p w14:paraId="000C489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（6分）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CBFB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19CD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获奖情况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C886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10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三年内获得市级以上相关表彰、奖励的，每一项得1分，最高得2分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7674B037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840EB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51CA0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7026C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0361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63F32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减免政策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10077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8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有针对贫困家庭学生费用减免政策得2分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42BD1492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36D72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629C0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97211"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A251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9FDAF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课后评价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1B7DA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C4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有完整的课后评价机制得2分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4B569E9D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B4EAC">
            <w:pPr>
              <w:widowControl/>
              <w:adjustRightInd w:val="0"/>
              <w:snapToGrid w:val="0"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佐证材料</w:t>
            </w:r>
          </w:p>
        </w:tc>
      </w:tr>
      <w:tr w14:paraId="2A9F0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06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F722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F472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100</w:t>
            </w:r>
          </w:p>
        </w:tc>
        <w:tc>
          <w:tcPr>
            <w:tcW w:w="33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8B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" w:leftChars="10" w:right="21" w:rightChars="1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 w14:paraId="53DA832F">
            <w:pPr>
              <w:adjustRightInd w:val="0"/>
              <w:snapToGrid w:val="0"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6D8C2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</w:tbl>
    <w:p w14:paraId="1DB0B432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3505B4-BF7C-476A-8AAA-D68C068632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9DAE51-5D6C-4CF3-A462-75E21ED8BE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3C2A74A-D5DC-48D3-9020-732E3C70D68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320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4830445</wp:posOffset>
              </wp:positionH>
              <wp:positionV relativeFrom="paragraph">
                <wp:posOffset>-63500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B713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35pt;margin-top:-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DfLW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B713D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577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332105</wp:posOffset>
              </wp:positionH>
              <wp:positionV relativeFrom="paragraph">
                <wp:posOffset>-62865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19322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15pt;margin-top:-4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31N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19322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YmVkY2M4Mzk2ODJhOTU0YmQ2YTM2OGU0MGFmMTUifQ=="/>
  </w:docVars>
  <w:rsids>
    <w:rsidRoot w:val="00EA0DEF"/>
    <w:rsid w:val="00014B56"/>
    <w:rsid w:val="000C678C"/>
    <w:rsid w:val="00102648"/>
    <w:rsid w:val="00220249"/>
    <w:rsid w:val="004076B0"/>
    <w:rsid w:val="00A844BF"/>
    <w:rsid w:val="00DD1432"/>
    <w:rsid w:val="00EA0DEF"/>
    <w:rsid w:val="0CEE31B5"/>
    <w:rsid w:val="10F66AD9"/>
    <w:rsid w:val="1A2C70C8"/>
    <w:rsid w:val="25D3070D"/>
    <w:rsid w:val="29CF0E6E"/>
    <w:rsid w:val="30C92E14"/>
    <w:rsid w:val="3FF20080"/>
    <w:rsid w:val="40D14D51"/>
    <w:rsid w:val="48632753"/>
    <w:rsid w:val="48B3056D"/>
    <w:rsid w:val="55E2225E"/>
    <w:rsid w:val="58387562"/>
    <w:rsid w:val="616F7F68"/>
    <w:rsid w:val="651E63D3"/>
    <w:rsid w:val="6DF3487A"/>
    <w:rsid w:val="7D836A4C"/>
    <w:rsid w:val="7FF5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61"/>
    <w:basedOn w:val="9"/>
    <w:qFormat/>
    <w:uiPriority w:val="0"/>
    <w:rPr>
      <w:rFonts w:ascii="黑体" w:eastAsia="黑体" w:cs="黑体"/>
      <w:color w:val="FF0000"/>
      <w:sz w:val="18"/>
      <w:szCs w:val="18"/>
      <w:u w:val="none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3</Pages>
  <Words>5056</Words>
  <Characters>5231</Characters>
  <Lines>39</Lines>
  <Paragraphs>11</Paragraphs>
  <TotalTime>8</TotalTime>
  <ScaleCrop>false</ScaleCrop>
  <LinksUpToDate>false</LinksUpToDate>
  <CharactersWithSpaces>5278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2024-08-10T03:48:00Z</dcterms:created>
  <dc:creator>盛夏光年</dc:creator>
  <cp:lastModifiedBy>我就是我</cp:lastModifiedBy>
  <cp:lastPrinted>2024-10-09T00:20:00Z</cp:lastPrinted>
  <dcterms:modified xsi:type="dcterms:W3CDTF">2024-10-12T07:12:14Z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16A052B11F0A4D51AB578C4450C2550C_13</vt:lpwstr>
  </property>
</Properties>
</file>