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华文仿宋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附件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洛阳市首期研学导师培训班参训人员报名回执表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                   年    月    日</w:t>
      </w:r>
    </w:p>
    <w:tbl>
      <w:tblPr>
        <w:tblStyle w:val="5"/>
        <w:tblW w:w="14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0"/>
        <w:gridCol w:w="660"/>
        <w:gridCol w:w="740"/>
        <w:gridCol w:w="1060"/>
        <w:gridCol w:w="3730"/>
        <w:gridCol w:w="1480"/>
        <w:gridCol w:w="176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参训专业</w:t>
            </w:r>
          </w:p>
        </w:tc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956" w:type="dxa"/>
            <w:vAlign w:val="center"/>
          </w:tcPr>
          <w:p>
            <w:pPr>
              <w:spacing w:after="0"/>
              <w:ind w:firstLine="227" w:firstLineChars="7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left="0" w:leftChars="0" w:right="0" w:rightChars="0" w:firstLine="50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4"/>
          <w:szCs w:val="24"/>
        </w:rPr>
        <w:t>本期研学导师培训班将分为活动指导师和教学指导师两个专业方向，活动指导师主要面向研学基地、承办机构的负责人和管理人员；教学指导师主要面向研学基地、承办机构从事实践教学工作的具体实施人员。</w:t>
      </w: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开票单位名称：</w:t>
      </w:r>
    </w:p>
    <w:p>
      <w:pPr>
        <w:widowControl w:val="0"/>
        <w:adjustRightInd/>
        <w:snapToGrid/>
      </w:pPr>
      <w:r>
        <w:rPr>
          <w:rFonts w:hint="eastAsia" w:ascii="仿宋" w:hAnsi="仿宋" w:eastAsia="仿宋" w:cs="仿宋"/>
          <w:sz w:val="28"/>
          <w:szCs w:val="28"/>
        </w:rPr>
        <w:t xml:space="preserve">纳税识别号：   </w:t>
      </w:r>
      <w:bookmarkStart w:id="0" w:name="_GoBack"/>
      <w:bookmarkEnd w:id="0"/>
    </w:p>
    <w:sectPr>
      <w:pgSz w:w="16838" w:h="11906" w:orient="landscape"/>
      <w:pgMar w:top="1526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B52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ascii="仿宋_GB2312" w:hAnsi="仿宋_GB2312" w:eastAsia="仿宋_GB2312" w:cs="Arial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2020-11-27T08:58:57Z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